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2A6B" w14:textId="77777777" w:rsidR="009F5EAE" w:rsidRDefault="009F5EAE" w:rsidP="009F5E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  <w:t>Gründungsurkunde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  <w:t xml:space="preserve"> </w:t>
      </w:r>
    </w:p>
    <w:p w14:paraId="7EE293DB" w14:textId="05DD8933" w:rsidR="009F5EAE" w:rsidRPr="009F5EAE" w:rsidRDefault="009F5EAE" w:rsidP="009F5E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  <w:t xml:space="preserve"> „Péli </w:t>
      </w:r>
      <w:proofErr w:type="gramStart"/>
      <w:r w:rsidRPr="009F5E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  <w:t xml:space="preserve">Örökség“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  <w:t>Stiftung</w:t>
      </w:r>
      <w:proofErr w:type="spellEnd"/>
      <w:proofErr w:type="gramEnd"/>
    </w:p>
    <w:p w14:paraId="554F23B5" w14:textId="77777777" w:rsidR="009F5EAE" w:rsidRPr="009F5EAE" w:rsidRDefault="009F5EAE" w:rsidP="009F5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Unterzeichnete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Gründerin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erklärt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hiermit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Errichtung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gemäß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ungarischen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Zivilgesetzbuch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(2013.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Jahr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Gesetz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sowie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Gesetz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CLXXV/2011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über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Vereine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Gemeinnützigkeit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Funktionieren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Unterstützung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zivilgesellschaftlicher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Organisationen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5819A700" w14:textId="77777777" w:rsidR="009F5EAE" w:rsidRPr="009F5EAE" w:rsidRDefault="009F5EAE" w:rsidP="009F5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7204831A">
          <v:rect id="_x0000_i1025" style="width:0;height:1.5pt" o:hralign="center" o:hrstd="t" o:hr="t" fillcolor="#a0a0a0" stroked="f"/>
        </w:pict>
      </w:r>
    </w:p>
    <w:p w14:paraId="6B289971" w14:textId="77777777" w:rsidR="009F5EAE" w:rsidRPr="009F5EAE" w:rsidRDefault="009F5EAE" w:rsidP="009F5E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1.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Gründerin</w:t>
      </w:r>
      <w:proofErr w:type="spellEnd"/>
    </w:p>
    <w:p w14:paraId="0F937A37" w14:textId="77777777" w:rsidR="009F5EAE" w:rsidRPr="009F5EAE" w:rsidRDefault="009F5EAE" w:rsidP="009F5E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Takács Kinga</w:t>
      </w: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geb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Ugray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Mária),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wohnhaft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2083 Solymár, Panoráma u. 84.​</w:t>
      </w:r>
    </w:p>
    <w:p w14:paraId="27C454B1" w14:textId="77777777" w:rsidR="009F5EAE" w:rsidRPr="009F5EAE" w:rsidRDefault="009F5EAE" w:rsidP="009F5E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Takács István</w:t>
      </w: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geb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Ugray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Mária),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wohnhaft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2890 Tata, Kakas utca 31.​</w:t>
      </w:r>
    </w:p>
    <w:p w14:paraId="31F1D36F" w14:textId="77777777" w:rsidR="009F5EAE" w:rsidRPr="009F5EAE" w:rsidRDefault="009F5EAE" w:rsidP="009F5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322667F8">
          <v:rect id="_x0000_i1026" style="width:0;height:1.5pt" o:hralign="center" o:hrstd="t" o:hr="t" fillcolor="#a0a0a0" stroked="f"/>
        </w:pict>
      </w:r>
    </w:p>
    <w:p w14:paraId="25490797" w14:textId="77777777" w:rsidR="009F5EAE" w:rsidRPr="009F5EAE" w:rsidRDefault="009F5EAE" w:rsidP="009F5E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2.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Name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Stiftung</w:t>
      </w:r>
      <w:proofErr w:type="spellEnd"/>
    </w:p>
    <w:p w14:paraId="7DB50385" w14:textId="10436DF2" w:rsidR="009F5EAE" w:rsidRPr="009F5EAE" w:rsidRDefault="009F5EAE" w:rsidP="009F5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„Péli </w:t>
      </w:r>
      <w:proofErr w:type="gram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Örökség“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proofErr w:type="gramEnd"/>
    </w:p>
    <w:p w14:paraId="2454F317" w14:textId="77777777" w:rsidR="009F5EAE" w:rsidRPr="009F5EAE" w:rsidRDefault="009F5EAE" w:rsidP="009F5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066F61C0">
          <v:rect id="_x0000_i1027" style="width:0;height:1.5pt" o:hralign="center" o:hrstd="t" o:hr="t" fillcolor="#a0a0a0" stroked="f"/>
        </w:pict>
      </w:r>
    </w:p>
    <w:p w14:paraId="69FE70E0" w14:textId="77777777" w:rsidR="009F5EAE" w:rsidRPr="009F5EAE" w:rsidRDefault="009F5EAE" w:rsidP="009F5E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3.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Sitz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Stiftung</w:t>
      </w:r>
      <w:proofErr w:type="spellEnd"/>
    </w:p>
    <w:p w14:paraId="613D3211" w14:textId="77777777" w:rsidR="009F5EAE" w:rsidRPr="009F5EAE" w:rsidRDefault="009F5EAE" w:rsidP="009F5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1225 Budapest, Petőfi Sándor utca 4.​</w:t>
      </w:r>
    </w:p>
    <w:p w14:paraId="03B69736" w14:textId="77777777" w:rsidR="009F5EAE" w:rsidRPr="009F5EAE" w:rsidRDefault="009F5EAE" w:rsidP="009F5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7A05AF41">
          <v:rect id="_x0000_i1028" style="width:0;height:1.5pt" o:hralign="center" o:hrstd="t" o:hr="t" fillcolor="#a0a0a0" stroked="f"/>
        </w:pict>
      </w:r>
    </w:p>
    <w:p w14:paraId="0ED3AEB7" w14:textId="77777777" w:rsidR="009F5EAE" w:rsidRPr="009F5EAE" w:rsidRDefault="009F5EAE" w:rsidP="009F5E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4. Website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Stiftung</w:t>
      </w:r>
      <w:proofErr w:type="spellEnd"/>
    </w:p>
    <w:p w14:paraId="69E24984" w14:textId="77777777" w:rsidR="009F5EAE" w:rsidRPr="009F5EAE" w:rsidRDefault="009F5EAE" w:rsidP="009F5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hyperlink r:id="rId5" w:tgtFrame="_new" w:history="1">
        <w:r w:rsidRPr="009F5E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www.peliorokseg.hu</w:t>
        </w:r>
      </w:hyperlink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​</w:t>
      </w:r>
    </w:p>
    <w:p w14:paraId="292B3F25" w14:textId="77777777" w:rsidR="009F5EAE" w:rsidRPr="009F5EAE" w:rsidRDefault="009F5EAE" w:rsidP="009F5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47214CC5">
          <v:rect id="_x0000_i1029" style="width:0;height:1.5pt" o:hralign="center" o:hrstd="t" o:hr="t" fillcolor="#a0a0a0" stroked="f"/>
        </w:pict>
      </w:r>
    </w:p>
    <w:p w14:paraId="7B224162" w14:textId="77777777" w:rsidR="009F5EAE" w:rsidRPr="009F5EAE" w:rsidRDefault="009F5EAE" w:rsidP="009F5E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5.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Gründungskapital</w:t>
      </w:r>
      <w:proofErr w:type="spellEnd"/>
    </w:p>
    <w:p w14:paraId="6C334FB9" w14:textId="77777777" w:rsidR="009F5EAE" w:rsidRPr="009F5EAE" w:rsidRDefault="009F5EAE" w:rsidP="009F5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250.000 HUF (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zweihundertfünfzigtausend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Forint) in bar,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vollständig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Gründerin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zur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Verfügung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gestellt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0786679E" w14:textId="77777777" w:rsidR="009F5EAE" w:rsidRPr="009F5EAE" w:rsidRDefault="009F5EAE" w:rsidP="009F5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638AFAA8">
          <v:rect id="_x0000_i1030" style="width:0;height:1.5pt" o:hralign="center" o:hrstd="t" o:hr="t" fillcolor="#a0a0a0" stroked="f"/>
        </w:pict>
      </w:r>
    </w:p>
    <w:p w14:paraId="4A41D22B" w14:textId="77777777" w:rsidR="009F5EAE" w:rsidRPr="009F5EAE" w:rsidRDefault="009F5EAE" w:rsidP="009F5E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6.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Zweck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Stiftung</w:t>
      </w:r>
      <w:proofErr w:type="spellEnd"/>
    </w:p>
    <w:p w14:paraId="5A28972F" w14:textId="77777777" w:rsidR="009F5EAE" w:rsidRPr="009F5EAE" w:rsidRDefault="009F5EAE" w:rsidP="009F5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verfolgt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Ziel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Sankt-László-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Friedhof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Kapelle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Sárszentlőrinc-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Alspélpuszta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erhalten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zu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pflegen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Diese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1860 von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Gräfin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Széchényi Mária,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Ehefrau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Graf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Zichy László,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Kapelle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ehemaligen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Alspélpuszta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-Villa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errichtet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Nachfahren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Familie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Zichy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beabsichtigt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dieses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Erbe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zukünftige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Generationen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bewahren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Geschichte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Werk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geistige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Erbe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dort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lebenden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Vorfahren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erhalten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weiterzugeben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623CBE90" w14:textId="77777777" w:rsidR="009F5EAE" w:rsidRPr="009F5EAE" w:rsidRDefault="009F5EAE" w:rsidP="009F5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65BED7BF">
          <v:rect id="_x0000_i1031" style="width:0;height:1.5pt" o:hralign="center" o:hrstd="t" o:hr="t" fillcolor="#a0a0a0" stroked="f"/>
        </w:pict>
      </w:r>
    </w:p>
    <w:p w14:paraId="4F678802" w14:textId="77777777" w:rsidR="009F5EAE" w:rsidRPr="009F5EAE" w:rsidRDefault="009F5EAE" w:rsidP="009F5E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7.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Tätigkeitsbereich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Stiftung</w:t>
      </w:r>
      <w:proofErr w:type="spellEnd"/>
    </w:p>
    <w:p w14:paraId="51D98B91" w14:textId="77777777" w:rsidR="009F5EAE" w:rsidRPr="009F5EAE" w:rsidRDefault="009F5EAE" w:rsidP="009F5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Denkmalschutz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Pflege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Schutz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Friedhofsanlage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Kapelle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einschließlich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notwendigen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Unterstützung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ihren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Betrieb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21CC2786" w14:textId="77777777" w:rsidR="009F5EAE" w:rsidRPr="009F5EAE" w:rsidRDefault="009F5EAE" w:rsidP="009F5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Schaffung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Gemeinschaftsräumen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Entwicklung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Pflege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Gemeinschaftsbereichen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Kapelle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Friedhof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einschließlich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Erhaltung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Schutzes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Bäumen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z.B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Linde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Kapelle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3014FE19" w14:textId="77777777" w:rsidR="009F5EAE" w:rsidRPr="009F5EAE" w:rsidRDefault="009F5EAE" w:rsidP="009F5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Förderung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christlichen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Geistes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Pflege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christlichen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Geistes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Kirchenbindung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3064C453" w14:textId="77777777" w:rsidR="009F5EAE" w:rsidRPr="009F5EAE" w:rsidRDefault="009F5EAE" w:rsidP="009F5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Weitergabe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kulturellen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Erbes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Forschung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Bekanntmachung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Schutz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Fortführung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Traditionen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geistigen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Hinterlassenschaften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Werke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Péli-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Nachkommen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24CC6352" w14:textId="77777777" w:rsidR="009F5EAE" w:rsidRPr="009F5EAE" w:rsidRDefault="009F5EAE" w:rsidP="009F5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Gemeinschaftsaufbau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Förderung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Beziehungen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zwischen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Nachkommen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Zichy-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Familie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Kapelle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erbauten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Dorfbewohnern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Unterstützung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lokaler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familiärer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Geschäfte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500AF8FC" w14:textId="77777777" w:rsidR="009F5EAE" w:rsidRPr="009F5EAE" w:rsidRDefault="009F5EAE" w:rsidP="009F5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Unterstützung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anderer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Institutionen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Unterstützung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Zusammenarbeit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mit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anderen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Institutionen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geistige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soziale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Wohl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Alspélpuszta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lebenden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Bürger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Nachkommen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Zichy-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Familie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fördern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4FFEBE3A" w14:textId="77777777" w:rsidR="009F5EAE" w:rsidRPr="009F5EAE" w:rsidRDefault="009F5EAE" w:rsidP="009F5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Förderung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lokalen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Tourismus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Förderung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Nutzung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Kapelle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Organisation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Unterstützung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kultureller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historischer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sportlicher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Veranstaltungen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7AD4995F" w14:textId="77777777" w:rsidR="009F5EAE" w:rsidRPr="009F5EAE" w:rsidRDefault="009F5EAE" w:rsidP="009F5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Aufbau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Beziehungen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Aufbau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Pflege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Beziehungen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anderen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in-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ausländischen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Organisationen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mit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ähnlichen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Zielen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490CDDB4" w14:textId="77777777" w:rsidR="009F5EAE" w:rsidRPr="009F5EAE" w:rsidRDefault="009F5EAE" w:rsidP="009F5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6567969F">
          <v:rect id="_x0000_i1032" style="width:0;height:1.5pt" o:hralign="center" o:hrstd="t" o:hr="t" fillcolor="#a0a0a0" stroked="f"/>
        </w:pict>
      </w:r>
    </w:p>
    <w:p w14:paraId="0DA2168A" w14:textId="77777777" w:rsidR="009F5EAE" w:rsidRPr="009F5EAE" w:rsidRDefault="009F5EAE" w:rsidP="009F5E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8. Art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Stiftung</w:t>
      </w:r>
      <w:proofErr w:type="spellEnd"/>
    </w:p>
    <w:p w14:paraId="1E475EF0" w14:textId="77777777" w:rsidR="009F5EAE" w:rsidRPr="009F5EAE" w:rsidRDefault="009F5EAE" w:rsidP="009F5E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Offenheit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natürliche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juristische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Ungarn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Ausland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jederzeit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während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Bestehensdauer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mit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beliebigen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finanziellen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Beiträgen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beitreten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können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Beitritt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verleiht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keine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Gründerrechte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jedoch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Recht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Vorschläge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Verwendung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ihres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Beitrags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machen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3311D682" w14:textId="77777777" w:rsidR="009F5EAE" w:rsidRPr="009F5EAE" w:rsidRDefault="009F5EAE" w:rsidP="009F5E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Politische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Neutralität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führt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keine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direkte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politische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Tätigkeit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durch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parteipolitisch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unabhängig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gewährt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keine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finanzielle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Unterstützung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politische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Parteien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4E5F1157" w14:textId="77777777" w:rsidR="009F5EAE" w:rsidRPr="009F5EAE" w:rsidRDefault="009F5EAE" w:rsidP="009F5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520A429A">
          <v:rect id="_x0000_i1033" style="width:0;height:1.5pt" o:hralign="center" o:hrstd="t" o:hr="t" fillcolor="#a0a0a0" stroked="f"/>
        </w:pict>
      </w:r>
    </w:p>
    <w:p w14:paraId="302927D3" w14:textId="77777777" w:rsidR="009F5EAE" w:rsidRPr="009F5EAE" w:rsidRDefault="009F5EAE" w:rsidP="009F5E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9. Dauer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Stiftung</w:t>
      </w:r>
      <w:proofErr w:type="spellEnd"/>
    </w:p>
    <w:p w14:paraId="35E98EBD" w14:textId="77777777" w:rsidR="009F5EAE" w:rsidRPr="009F5EAE" w:rsidRDefault="009F5EAE" w:rsidP="009F5E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unbestimmte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Zeit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errichtet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5C15AE44" w14:textId="77777777" w:rsidR="009F5EAE" w:rsidRPr="009F5EAE" w:rsidRDefault="009F5EAE" w:rsidP="009F5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pict w14:anchorId="6EA9FCE9">
          <v:rect id="_x0000_i1034" style="width:0;height:1.5pt" o:hralign="center" o:hrstd="t" o:hr="t" fillcolor="#a0a0a0" stroked="f"/>
        </w:pict>
      </w:r>
    </w:p>
    <w:p w14:paraId="46CB5D17" w14:textId="77777777" w:rsidR="009F5EAE" w:rsidRPr="009F5EAE" w:rsidRDefault="009F5EAE" w:rsidP="009F5E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10.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Verwendung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Stiftungskapitals</w:t>
      </w:r>
      <w:proofErr w:type="spellEnd"/>
    </w:p>
    <w:p w14:paraId="02BF14E6" w14:textId="77777777" w:rsidR="009F5EAE" w:rsidRPr="009F5EAE" w:rsidRDefault="009F5EAE" w:rsidP="009F5E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Zweckgebundene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Verwendung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Vermögen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darf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ausschließlich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dieser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Urkunde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festgelegten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Zwecke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verwendet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7791715A" w14:textId="77777777" w:rsidR="009F5EAE" w:rsidRPr="009F5EAE" w:rsidRDefault="009F5EAE" w:rsidP="009F5E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Verwaltung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Vermögen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verwaltet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  <w:hyperlink r:id="rId6" w:tgtFrame="_blank" w:history="1">
        <w:r w:rsidRPr="009F5EA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u-HU"/>
            <w14:ligatures w14:val="none"/>
          </w:rPr>
          <w:t>Augsburg Bern</w:t>
        </w:r>
      </w:hyperlink>
    </w:p>
    <w:p w14:paraId="21B67393" w14:textId="77777777" w:rsidR="009F5EAE" w:rsidRPr="009F5EAE" w:rsidRDefault="009F5EAE" w:rsidP="009F5E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Zuwendungen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Spenden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Stiftungskonto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eingehen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dürfen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ebenfalls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nur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festgelegten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Zwecke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verwendet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6F7C8BC4" w14:textId="77777777" w:rsidR="009F5EAE" w:rsidRPr="009F5EAE" w:rsidRDefault="009F5EAE" w:rsidP="009F5E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Entscheidungen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entscheidet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über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Verwendung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Vermögens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basierend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genehmigten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Finanzplänen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Beschlüssen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180AD558" w14:textId="77777777" w:rsidR="009F5EAE" w:rsidRPr="009F5EAE" w:rsidRDefault="009F5EAE" w:rsidP="009F5E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Beachtung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Anweisungen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sorgt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dafür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Wünsche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Spendern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bezüglich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Verwendung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ihrer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Beiträge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beachtet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72A73D40" w14:textId="77777777" w:rsidR="009F5EAE" w:rsidRPr="009F5EAE" w:rsidRDefault="009F5EAE" w:rsidP="009F5E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0A58773A">
          <v:rect id="_x0000_i1035" style="width:0;height:1.5pt" o:hralign="center" o:hrstd="t" o:hr="t" fillcolor="#a0a0a0" stroked="f"/>
        </w:pict>
      </w:r>
    </w:p>
    <w:p w14:paraId="14E5A781" w14:textId="77777777" w:rsidR="009F5EAE" w:rsidRPr="009F5EAE" w:rsidRDefault="009F5EAE" w:rsidP="009F5E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11.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Leitungsorgane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Stiftung</w:t>
      </w:r>
      <w:proofErr w:type="spellEnd"/>
    </w:p>
    <w:p w14:paraId="4957BF07" w14:textId="77777777" w:rsidR="009F5EAE" w:rsidRPr="009F5EAE" w:rsidRDefault="009F5EAE" w:rsidP="009F5E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Kuratorium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Gründerin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ernennt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dreiköpfiges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zur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Verwaltung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Stiftungskapitals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Gründerin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behält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Recht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Vorsitzenden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bestimmen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46484E1A" w14:textId="77777777" w:rsidR="009F5EAE" w:rsidRPr="009F5EAE" w:rsidRDefault="009F5EAE" w:rsidP="009F5E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Vorsitzender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Kuratoriums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Stefán-Ugray Eszter</w:t>
      </w: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wohnhaft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1225 Budapest, Petőfi Sándor utca 4. (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geb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Ugray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Orsolya).​</w:t>
      </w:r>
    </w:p>
    <w:p w14:paraId="5EE91E20" w14:textId="77777777" w:rsidR="009F5EAE" w:rsidRPr="009F5EAE" w:rsidRDefault="009F5EAE" w:rsidP="009F5E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Weitere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Mitglieder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Kuratoriums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303593EF" w14:textId="77777777" w:rsidR="009F5EAE" w:rsidRPr="009F5EAE" w:rsidRDefault="009F5EAE" w:rsidP="009F5EA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Bodor Zsófia</w:t>
      </w: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wohnhaft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1223 Budapest, Dalkör u. 8.​</w:t>
      </w:r>
    </w:p>
    <w:p w14:paraId="1278F74B" w14:textId="77777777" w:rsidR="009F5EAE" w:rsidRPr="009F5EAE" w:rsidRDefault="009F5EAE" w:rsidP="009F5EA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Szűcs-Nagy Kinga</w:t>
      </w: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wohnhaft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8151 Szabadbattyán, Petőfi u. 60.​</w:t>
      </w:r>
    </w:p>
    <w:p w14:paraId="45B3A5F4" w14:textId="77777777" w:rsidR="009F5EAE" w:rsidRPr="009F5EAE" w:rsidRDefault="009F5EAE" w:rsidP="009F5E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Vertretungsbefugnis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Vorsitzende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alleinvertretungsberechtigt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17F253D7" w14:textId="77777777" w:rsidR="009F5EAE" w:rsidRPr="009F5EAE" w:rsidRDefault="009F5EAE" w:rsidP="009F5E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Dauer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Ernennung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Ernennung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Kuratoriumsmitglieder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erfolgt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unbestimmte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Zeit.​</w:t>
      </w:r>
    </w:p>
    <w:p w14:paraId="46871C8C" w14:textId="77777777" w:rsidR="009F5EAE" w:rsidRPr="009F5EAE" w:rsidRDefault="009F5EAE" w:rsidP="009F5E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Beendigung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Mitgliedschaft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Mitgliedschaft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endet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durch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Tod,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Rücktritt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Unvereinbarkeitsgründe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gemäß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relevanten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gesetzlichen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Bestimmungen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durch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Abberufung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gemäß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Bestimmungen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ungarischen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Zivilgesetzbuches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485EFE9A" w14:textId="77777777" w:rsidR="009F5EAE" w:rsidRPr="009F5EAE" w:rsidRDefault="009F5EAE" w:rsidP="009F5E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Aufgaben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Kuratoriums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7F5A2851" w14:textId="77777777" w:rsidR="009F5EAE" w:rsidRPr="009F5EAE" w:rsidRDefault="009F5EAE" w:rsidP="009F5EA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Sicherstellung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kontinuierlichen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Verwirklichung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Stiftungsziele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40C9AB7A" w14:textId="77777777" w:rsidR="009F5EAE" w:rsidRPr="009F5EAE" w:rsidRDefault="009F5EAE" w:rsidP="009F5EA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Schaffung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notwendigen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Mittel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Bedingungen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13C4517F" w14:textId="77777777" w:rsidR="009F5EAE" w:rsidRPr="009F5EAE" w:rsidRDefault="009F5EAE" w:rsidP="009F5EA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Entscheidung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über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Annahme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Ablehnung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Spenden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6D77375F" w14:textId="77777777" w:rsidR="009F5EAE" w:rsidRPr="009F5EAE" w:rsidRDefault="009F5EAE" w:rsidP="009F5EA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Ausübung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Arbeitgeberrechte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gegenüber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Mitarbeitern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1194273C" w14:textId="77777777" w:rsidR="009F5EAE" w:rsidRPr="009F5EAE" w:rsidRDefault="009F5EAE" w:rsidP="009F5E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Einberufung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Sitzungen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mindestens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einmal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jährlich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schriftlich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einberufen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7BB1D5AD" w14:textId="77777777" w:rsidR="009F5EAE" w:rsidRPr="009F5EAE" w:rsidRDefault="009F5EAE" w:rsidP="009F5E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Beschlussfähigkeit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beschlussfähig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wenn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mindestens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zwei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Mitglieder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anwesend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sind.​</w:t>
      </w:r>
    </w:p>
    <w:p w14:paraId="705F467B" w14:textId="77777777" w:rsidR="009F5EAE" w:rsidRPr="009F5EAE" w:rsidRDefault="009F5EAE" w:rsidP="009F5E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Beschlussfassung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Beschlüsse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mit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einfacher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Mehrheit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gefasst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es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sei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denn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Urkunde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sieht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etwas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anderes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17A34BC9" w14:textId="79A9E2C5" w:rsidR="009F5EAE" w:rsidRPr="009F5EAE" w:rsidRDefault="009F5EAE" w:rsidP="009F5E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Vergütung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Kuratoriumsmitglieder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erhalten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keine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Vergütung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können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jedoch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Anspruch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Erstattung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nachgewiesener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Auslagen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haben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.​</w:t>
      </w:r>
    </w:p>
    <w:p w14:paraId="7EB8AF02" w14:textId="6B28DC41" w:rsidR="009F5EAE" w:rsidRDefault="009F5E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40A092B4">
          <v:rect id="_x0000_i1048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 w:type="page"/>
      </w:r>
    </w:p>
    <w:p w14:paraId="7A835618" w14:textId="7D54C931" w:rsidR="009F5EAE" w:rsidRPr="009F5EAE" w:rsidRDefault="009F5EAE" w:rsidP="009F5E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lastRenderedPageBreak/>
        <w:t xml:space="preserve">12. </w:t>
      </w:r>
      <w:proofErr w:type="spellStart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Unvereinbarkeitsregelungen</w:t>
      </w:r>
      <w:proofErr w:type="spellEnd"/>
      <w:r w:rsidRPr="009F5E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:</w:t>
      </w:r>
    </w:p>
    <w:p w14:paraId="1B8AE0F7" w14:textId="77777777" w:rsidR="009F5EAE" w:rsidRPr="009F5EAE" w:rsidRDefault="009F5EAE" w:rsidP="009F5EAE">
      <w:pPr>
        <w:spacing w:before="100" w:beforeAutospacing="1" w:after="100" w:afterAutospacing="1" w:line="240" w:lineRule="auto"/>
        <w:ind w:left="70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12.1./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Geschäftsführer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kann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volljährige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Handlungsfähigkeit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Rahmen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Ausübung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seiner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Tätigkeit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nicht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eingeschränkt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Geschäftsführer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verpflichtet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seine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Aufgaben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persönlich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erfüllen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39E51C27" w14:textId="77777777" w:rsidR="009F5EAE" w:rsidRPr="009F5EAE" w:rsidRDefault="009F5EAE" w:rsidP="009F5EAE">
      <w:pPr>
        <w:spacing w:before="100" w:beforeAutospacing="1" w:after="100" w:afterAutospacing="1" w:line="240" w:lineRule="auto"/>
        <w:ind w:left="70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Geschäftsführer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kann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nicht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diejenige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Verbrechens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rechtskräftig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Freiheitsstrafe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verurteilt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solange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nachteiligen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Folgen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Vorstrafenregisters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nicht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aufgehoben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Geschäftsführer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kann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nicht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diejenige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aufgrund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rechtskräftigen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Urteils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Beruf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ausgeschlossen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bestimmten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Beruf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durch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rechtskräftiges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Urteil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ausgeschlossen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darf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Zeit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Sperrwirkung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nicht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Geschäftsführer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juristischen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diese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Tätigkeit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ausführt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Geschäftsführer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kann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nicht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diejenige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Urteil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ergangen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öffentlichen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Aufgaben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ausschließt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Strafgesetzbuch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§ 61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2,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lit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i).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Geschäftsführer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kann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während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Urteil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festgelegten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Dauer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nicht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Geschäftsführer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wenn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Ausübung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Geschäftsführerposition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ausgeschlossen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575D564" w14:textId="77777777" w:rsidR="009F5EAE" w:rsidRPr="009F5EAE" w:rsidRDefault="009F5EAE" w:rsidP="009F5EAE">
      <w:pPr>
        <w:spacing w:before="100" w:beforeAutospacing="1" w:after="100" w:afterAutospacing="1" w:line="240" w:lineRule="auto"/>
        <w:ind w:left="70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12.2./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Begünstigte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dessen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nahe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Verwandte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können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keine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Mitglieder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Gründerrechte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ausübt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sowie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seine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gesetzlichen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Vertreter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nahe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Verwandte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dürfen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nicht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Mehrheit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vertreten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sein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34883346" w14:textId="77777777" w:rsidR="009F5EAE" w:rsidRPr="009F5EAE" w:rsidRDefault="009F5EAE" w:rsidP="009F5EAE">
      <w:pPr>
        <w:spacing w:before="100" w:beforeAutospacing="1" w:after="100" w:afterAutospacing="1" w:line="240" w:lineRule="auto"/>
        <w:ind w:left="70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12.3./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kann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seine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Gründerrechte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-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pflichten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übertragen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(2013.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Gesetz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V.,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Bürgerliches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Gesetzbuch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§ 3:396).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Bedingung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für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Übertragung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seinen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Gründungsdokument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vereinbarten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finanziellen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Beitrag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bereits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geleistet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hat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zur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Verfügung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gestellt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hat.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Falle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Todes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Gründers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Auflösung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ohne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Rechtsnachfolger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wenn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anderen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seine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Gründerrechte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nicht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mehr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ausübt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Gründerrechte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Gründungsdokument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benannten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Stiftungseinheit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ausgeübt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Wenn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keine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solche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Einrichtung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benannt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wurde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übernimmt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diese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Rechte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(2013.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Gesetz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V.,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Bürgerliches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Gesetzbuch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§ 3:394).</w:t>
      </w:r>
    </w:p>
    <w:p w14:paraId="6823C504" w14:textId="77777777" w:rsidR="009F5EAE" w:rsidRPr="009F5EAE" w:rsidRDefault="009F5EAE" w:rsidP="009F5EAE">
      <w:pPr>
        <w:spacing w:before="100" w:beforeAutospacing="1" w:after="100" w:afterAutospacing="1" w:line="240" w:lineRule="auto"/>
        <w:ind w:left="70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12.4./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Bei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Beschlussfassung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Kuratoriums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darf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nicht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teilnehmen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nahe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Verwandte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durch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Beschluss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einer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Verpflichtung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Verantwortung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befreit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andere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Weise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bevorzugt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abzuschließenden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Rechtsvereinbarung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anderweitig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interessiert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ist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3F4A1A52" w14:textId="77777777" w:rsidR="009F5EAE" w:rsidRPr="009F5EAE" w:rsidRDefault="009F5EAE" w:rsidP="009F5EAE">
      <w:pPr>
        <w:spacing w:before="100" w:beforeAutospacing="1" w:after="100" w:afterAutospacing="1" w:line="240" w:lineRule="auto"/>
        <w:ind w:left="708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Auf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Fragen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nicht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Gründungsdokument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geregelt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sind, sind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Bestimmungen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Bürgerlichen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Gesetzbuches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(2013.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Gesetz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V.)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sowie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Gesetzes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über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Vereinigungen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Gemeinnützigkeitsstatus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Tätigkeit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Förderung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von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Zivilgesellschaftsorganisationen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(2011.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Gesetz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CLXXV.)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anzuwenden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18E09CE6" w14:textId="77777777" w:rsidR="009F5EAE" w:rsidRPr="009F5EAE" w:rsidRDefault="009F5EAE" w:rsidP="009F5E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Ausgegeben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Tata, 23. </w:t>
      </w:r>
      <w:proofErr w:type="spellStart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Dezember</w:t>
      </w:r>
      <w:proofErr w:type="spellEnd"/>
      <w:r w:rsidRPr="009F5EA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2024</w:t>
      </w:r>
    </w:p>
    <w:p w14:paraId="4F2EBC59" w14:textId="77777777" w:rsidR="004A06AB" w:rsidRDefault="004A06AB"/>
    <w:sectPr w:rsidR="004A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1A6C"/>
    <w:multiLevelType w:val="multilevel"/>
    <w:tmpl w:val="9F2C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B7382"/>
    <w:multiLevelType w:val="multilevel"/>
    <w:tmpl w:val="3AF6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D571A"/>
    <w:multiLevelType w:val="multilevel"/>
    <w:tmpl w:val="77DE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E1F47"/>
    <w:multiLevelType w:val="multilevel"/>
    <w:tmpl w:val="26A6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AE6318"/>
    <w:multiLevelType w:val="multilevel"/>
    <w:tmpl w:val="FD5A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B0490E"/>
    <w:multiLevelType w:val="multilevel"/>
    <w:tmpl w:val="B808B9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04091">
    <w:abstractNumId w:val="2"/>
  </w:num>
  <w:num w:numId="2" w16cid:durableId="1722437624">
    <w:abstractNumId w:val="0"/>
  </w:num>
  <w:num w:numId="3" w16cid:durableId="47849966">
    <w:abstractNumId w:val="1"/>
  </w:num>
  <w:num w:numId="4" w16cid:durableId="1415125606">
    <w:abstractNumId w:val="3"/>
  </w:num>
  <w:num w:numId="5" w16cid:durableId="1835336443">
    <w:abstractNumId w:val="4"/>
  </w:num>
  <w:num w:numId="6" w16cid:durableId="421755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AE"/>
    <w:rsid w:val="0001265C"/>
    <w:rsid w:val="004779E3"/>
    <w:rsid w:val="004A06AB"/>
    <w:rsid w:val="009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267C"/>
  <w15:chartTrackingRefBased/>
  <w15:docId w15:val="{AA742689-2907-448A-AEBC-922966B1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F5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F5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F5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F5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F5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F5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F5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F5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F5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F5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F5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F5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F5EA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F5EA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F5EA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F5EA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F5EA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F5EA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F5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F5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F5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F5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F5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F5EA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F5EA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F5EA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F5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F5EA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F5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fsichtbern.ch/de/artikel/stiftungsurkunde-statut?utm_source=chatgpt.com" TargetMode="External"/><Relationship Id="rId5" Type="http://schemas.openxmlformats.org/officeDocument/2006/relationships/hyperlink" Target="http://www.peliorokse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1084</Words>
  <Characters>7486</Characters>
  <Application>Microsoft Office Word</Application>
  <DocSecurity>0</DocSecurity>
  <Lines>62</Lines>
  <Paragraphs>17</Paragraphs>
  <ScaleCrop>false</ScaleCrop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Stefán-Ugray</dc:creator>
  <cp:keywords/>
  <dc:description/>
  <cp:lastModifiedBy>Eszter Stefán-Ugray</cp:lastModifiedBy>
  <cp:revision>1</cp:revision>
  <dcterms:created xsi:type="dcterms:W3CDTF">2025-04-28T13:51:00Z</dcterms:created>
  <dcterms:modified xsi:type="dcterms:W3CDTF">2025-04-28T14:09:00Z</dcterms:modified>
</cp:coreProperties>
</file>