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EE3B" w14:textId="77777777" w:rsidR="00996F3C" w:rsidRPr="00996F3C" w:rsidRDefault="00996F3C" w:rsidP="00996F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>Articles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>Association</w:t>
      </w:r>
      <w:proofErr w:type="spellEnd"/>
    </w:p>
    <w:p w14:paraId="083535D0" w14:textId="77777777" w:rsidR="00996F3C" w:rsidRPr="00996F3C" w:rsidRDefault="00996F3C" w:rsidP="00996F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"Péli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Heritage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"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Foundation</w:t>
      </w:r>
      <w:proofErr w:type="spellEnd"/>
    </w:p>
    <w:p w14:paraId="7C5E2102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undersigned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based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provisions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 of 2013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Civil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Code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CLXXV of 2011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Right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Association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Public Benefit Status,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Operation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Civil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Organizations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has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decided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establish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2254FA0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Founder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(s):</w:t>
      </w:r>
    </w:p>
    <w:p w14:paraId="2C6C7761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mother’s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maiden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residence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entity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registered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registration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number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company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registration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number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residence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representative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):</w:t>
      </w:r>
    </w:p>
    <w:p w14:paraId="582C9E4D" w14:textId="77777777" w:rsidR="00996F3C" w:rsidRPr="00996F3C" w:rsidRDefault="00996F3C" w:rsidP="00996F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Kinga Takács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Mother’s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Mária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Ugray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2083 Solymár, Panoráma Street 84)</w:t>
      </w:r>
    </w:p>
    <w:p w14:paraId="42C1D68D" w14:textId="77777777" w:rsidR="00996F3C" w:rsidRPr="00996F3C" w:rsidRDefault="00996F3C" w:rsidP="00996F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István Takács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Mother’s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Mária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Ugray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2890 Tata, Kakas Street 31)</w:t>
      </w:r>
    </w:p>
    <w:p w14:paraId="2150AC40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2EECE29A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Péli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Heritage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Foundation</w:t>
      </w:r>
      <w:proofErr w:type="spellEnd"/>
    </w:p>
    <w:p w14:paraId="50BDEF22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Registered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Office:</w:t>
      </w:r>
    </w:p>
    <w:p w14:paraId="218BC63E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1225 Budapest, Petőfi Sándor Street 4</w:t>
      </w:r>
    </w:p>
    <w:p w14:paraId="0A40F8AA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4. Website:</w:t>
      </w:r>
    </w:p>
    <w:p w14:paraId="799057D0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hyperlink r:id="rId5" w:tgtFrame="_new" w:history="1">
        <w:r w:rsidRPr="00996F3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www.peliorokseg.hu</w:t>
        </w:r>
      </w:hyperlink>
    </w:p>
    <w:p w14:paraId="3185C066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5.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Initial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Endowment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7332CA04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HUF 250,000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Two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hundred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fifty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thousand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forints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in cash,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fully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provided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E7CE7CC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6.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Purpose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18D57021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Saint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Ladislaus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cemetery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located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Alsópélpuszta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Sárszentlőrinc,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owned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local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municipality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Originally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built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around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1860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Alsópélpuszta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manor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Countess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Mária Széchényi,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wife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Count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László Zichy,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historical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sites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preserved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descendants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our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Foundation's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mission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maintain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cemetery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gram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proofErr w:type="gram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usable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state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future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generations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preserve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nurture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carry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forward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history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work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intellectual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heritage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our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ancestors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who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lived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here.</w:t>
      </w:r>
    </w:p>
    <w:p w14:paraId="4F3B4E92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7.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Activities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314213CD" w14:textId="77777777" w:rsidR="00996F3C" w:rsidRPr="00996F3C" w:rsidRDefault="00996F3C" w:rsidP="00996F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Monument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Protection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Primarily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maintenance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preservation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cemetery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located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within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municipally-owned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No. 0311 in Sárszentlőrinc,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including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operation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needed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EFE745E" w14:textId="77777777" w:rsidR="00996F3C" w:rsidRPr="00996F3C" w:rsidRDefault="00996F3C" w:rsidP="00996F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Creation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Community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Spaces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Developing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maintaining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enhancing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community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spaces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around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cemetery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preserving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ancient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associated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manor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e.g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linden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tree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front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</w:p>
    <w:p w14:paraId="12C30C46" w14:textId="77777777" w:rsidR="00996F3C" w:rsidRPr="00996F3C" w:rsidRDefault="00996F3C" w:rsidP="00996F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Fostering Christian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Values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Church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Loyalty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</w:p>
    <w:p w14:paraId="5FBA8FE7" w14:textId="77777777" w:rsidR="00996F3C" w:rsidRPr="00996F3C" w:rsidRDefault="00996F3C" w:rsidP="00996F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Promoting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Cultural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Heritage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Researching,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preserving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publicizing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continuing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traditions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intellectual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legacies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work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deeds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descendants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from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Pél.</w:t>
      </w:r>
    </w:p>
    <w:p w14:paraId="132F6CC8" w14:textId="77777777" w:rsidR="00996F3C" w:rsidRPr="00996F3C" w:rsidRDefault="00996F3C" w:rsidP="00996F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Community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Building: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Strengthening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connections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between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descendants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Zichy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who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built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local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residents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;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promoting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local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family-owned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businesses.</w:t>
      </w:r>
    </w:p>
    <w:p w14:paraId="1D6D02A9" w14:textId="77777777" w:rsidR="00996F3C" w:rsidRPr="00996F3C" w:rsidRDefault="00996F3C" w:rsidP="00996F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Support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Other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Institutions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initiatives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activities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other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organizations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that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serve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intellectual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social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welfare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citizens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Alsópélpuszta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Zichy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descendants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in line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our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objectives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A0BC43D" w14:textId="77777777" w:rsidR="00996F3C" w:rsidRPr="00996F3C" w:rsidRDefault="00996F3C" w:rsidP="00996F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Boosting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Local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Tourism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Promoting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organizing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cultural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historical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sporting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07456DD" w14:textId="77777777" w:rsidR="00996F3C" w:rsidRPr="00996F3C" w:rsidRDefault="00996F3C" w:rsidP="00996F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Building Relations: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Establishing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maintaining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relations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other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domestic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international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organizations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similar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aims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A353C1D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8.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Nature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675030F3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8.1.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open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;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domestic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foreign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natural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join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existence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providing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voluntary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financial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contribution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Such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joining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grant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rights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confer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status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However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contributors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make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proposals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regarding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donations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A72C368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8.2.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engage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direct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political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activities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;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remains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independent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political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parties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provide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financial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them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FBF1A2F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9. Duration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115C8021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established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indefinite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period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4AC19A1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10.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Use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Assets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795FEC55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10.1.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assets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purposes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specified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Articles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Association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manages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assets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FFA7794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10.2.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assets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yields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well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subsequent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monetary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donations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received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donations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kind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shall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exclusively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purposes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6CA6EF6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10.3.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decides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assets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based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individual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applications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approved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financial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resolution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F0FB97E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10.4.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If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donor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stipulates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conditions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donation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shall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ensure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compliance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such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conditions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94C06CB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 xml:space="preserve">11.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Executive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Body of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64AD626D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11.1.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appoints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three-member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manage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assets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reserves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right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designate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Chairperson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AA5D0C7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Chairperson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address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mother's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):</w:t>
      </w:r>
    </w:p>
    <w:p w14:paraId="764752AF" w14:textId="77777777" w:rsidR="00996F3C" w:rsidRPr="00996F3C" w:rsidRDefault="00996F3C" w:rsidP="00996F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Eszter Stefán-Ugray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(1225 Budapest, Petőfi Sándor Street 4,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Mother’s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Orsolya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Ugray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293BEF19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Other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address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):</w:t>
      </w:r>
    </w:p>
    <w:p w14:paraId="7B505EBB" w14:textId="77777777" w:rsidR="00996F3C" w:rsidRPr="00996F3C" w:rsidRDefault="00996F3C" w:rsidP="00996F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Zsófia Bodor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(1223 Budapest, Dalkör Street 8)</w:t>
      </w:r>
    </w:p>
    <w:p w14:paraId="554F252B" w14:textId="77777777" w:rsidR="00996F3C" w:rsidRPr="00996F3C" w:rsidRDefault="00996F3C" w:rsidP="00996F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Kinga Szűcs-Nagy</w:t>
      </w: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(8151 Szabadbattyán, Petőfi Street 60)</w:t>
      </w:r>
    </w:p>
    <w:p w14:paraId="5851B890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Chairperson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holds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general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independent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representative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rights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2225343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11.2.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appointment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indefinite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period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Appointment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becomes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effective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upon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acceptance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9E12136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ceases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upon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1CC3CF5D" w14:textId="77777777" w:rsidR="00996F3C" w:rsidRPr="00996F3C" w:rsidRDefault="00996F3C" w:rsidP="00996F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death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1EF6E5D9" w14:textId="77777777" w:rsidR="00996F3C" w:rsidRPr="00996F3C" w:rsidRDefault="00996F3C" w:rsidP="00996F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resignation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00DC7F1E" w14:textId="77777777" w:rsidR="00996F3C" w:rsidRPr="00996F3C" w:rsidRDefault="00996F3C" w:rsidP="00996F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occurrence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incompatibility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disqualification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stipulated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Sections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3:22 (1), (4)-(6) and 3:397 (3), (4)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Civil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Code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Section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61 (2)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Criminal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Code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260547BD" w14:textId="77777777" w:rsidR="00996F3C" w:rsidRPr="00996F3C" w:rsidRDefault="00996F3C" w:rsidP="00996F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dismissal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Section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3:398 (2)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Civil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Code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39DED16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11.3.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ensures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continuous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achievement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objectives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secures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necessary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resources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decides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acceptance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rejection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donations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C9D38A6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exercises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employer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rights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over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Foundation's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employees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6931DB8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11.4.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must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convene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least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year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via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written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verifiable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means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e.g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registered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mail,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return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receipt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confirmed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email).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Meetings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online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if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necessary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4E80319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11.5.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Decisions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must be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made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public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sessions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convened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Chairperson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written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invitation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stating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seat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time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agenda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meeting.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Invitations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must be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verifiably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least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8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days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before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meeting.</w:t>
      </w:r>
    </w:p>
    <w:p w14:paraId="23CB9519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11.6.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quorate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if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least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two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Decisions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require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5423B0B4" w14:textId="77777777" w:rsidR="00996F3C" w:rsidRPr="00996F3C" w:rsidRDefault="00996F3C" w:rsidP="00996F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simple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majority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if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three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783ED44F" w14:textId="77777777" w:rsidR="00996F3C" w:rsidRPr="00996F3C" w:rsidRDefault="00996F3C" w:rsidP="00996F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unanimous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decision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if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two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D63E29F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vote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if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1BF9B46C" w14:textId="77777777" w:rsidR="00996F3C" w:rsidRPr="00996F3C" w:rsidRDefault="00996F3C" w:rsidP="00996F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exempted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from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obligations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liabilities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decision,</w:t>
      </w:r>
    </w:p>
    <w:p w14:paraId="558B51B9" w14:textId="77777777" w:rsidR="00996F3C" w:rsidRPr="00996F3C" w:rsidRDefault="00996F3C" w:rsidP="00996F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would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conclude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contract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decision,</w:t>
      </w:r>
    </w:p>
    <w:p w14:paraId="5CCB12C7" w14:textId="77777777" w:rsidR="00996F3C" w:rsidRPr="00996F3C" w:rsidRDefault="00996F3C" w:rsidP="00996F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would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subject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litigation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arising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from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decision,</w:t>
      </w:r>
    </w:p>
    <w:p w14:paraId="759C3DB2" w14:textId="77777777" w:rsidR="00996F3C" w:rsidRPr="00996F3C" w:rsidRDefault="00996F3C" w:rsidP="00996F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close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relative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interested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decision,</w:t>
      </w:r>
    </w:p>
    <w:p w14:paraId="05F7DAF7" w14:textId="77777777" w:rsidR="00996F3C" w:rsidRPr="00996F3C" w:rsidRDefault="00996F3C" w:rsidP="00996F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controlling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interest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another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organization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concerned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decision,</w:t>
      </w:r>
    </w:p>
    <w:p w14:paraId="1097EE9B" w14:textId="77777777" w:rsidR="00996F3C" w:rsidRPr="00996F3C" w:rsidRDefault="00996F3C" w:rsidP="00996F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personally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interested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decision.</w:t>
      </w:r>
    </w:p>
    <w:p w14:paraId="2FA95E9E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11.7.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receive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remuneration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entitled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reimbursement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verified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expenses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costs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F9F909E" w14:textId="77777777" w:rsidR="00996F3C" w:rsidRPr="00996F3C" w:rsidRDefault="00996F3C" w:rsidP="00996F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12.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Conflict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Interest </w:t>
      </w:r>
      <w:proofErr w:type="spellStart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Rules</w:t>
      </w:r>
      <w:proofErr w:type="spellEnd"/>
      <w:r w:rsidRPr="00996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777BC03B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12.1.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legally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competent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adult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serve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must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personally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fulfill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management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duties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18A9889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Individuals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serve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if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1D0A986A" w14:textId="77777777" w:rsidR="00996F3C" w:rsidRPr="00996F3C" w:rsidRDefault="00996F3C" w:rsidP="00996F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convicted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criminal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offense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yet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cleared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adverse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consequences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3A85C96A" w14:textId="77777777" w:rsidR="00996F3C" w:rsidRPr="00996F3C" w:rsidRDefault="00996F3C" w:rsidP="00996F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banned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from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relevant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profession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398CB61C" w14:textId="77777777" w:rsidR="00996F3C" w:rsidRPr="00996F3C" w:rsidRDefault="00996F3C" w:rsidP="00996F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public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affairs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6331867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12.2.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Beneficiaries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close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relatives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cannot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serve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majority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cannot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representatives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close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relatives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13C0527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12.3. The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transfer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rights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obligations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initial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endowment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has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been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fully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provided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Founder’s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death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dissolution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without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succession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permanent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inability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exercise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rights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such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rights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shall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pass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body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designated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Articles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absence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designation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Trustees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69E8BED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12.4. A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involved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a decision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which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close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relatives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would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benefit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directly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participate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decision-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making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process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B6AC603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In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matters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herein,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relevant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provisions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Civil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Code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 of 2013) and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CLXXV of 2011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shall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apply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A3B1C70" w14:textId="77777777" w:rsidR="00996F3C" w:rsidRPr="00996F3C" w:rsidRDefault="00996F3C" w:rsidP="0099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Signed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Tata,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23rd </w:t>
      </w:r>
      <w:proofErr w:type="spell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day</w:t>
      </w:r>
      <w:proofErr w:type="spell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gramStart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December</w:t>
      </w:r>
      <w:proofErr w:type="gramEnd"/>
      <w:r w:rsidRPr="00996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2024.</w:t>
      </w:r>
    </w:p>
    <w:p w14:paraId="28352F9E" w14:textId="77777777" w:rsidR="004A06AB" w:rsidRDefault="004A06AB"/>
    <w:sectPr w:rsidR="004A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6FC"/>
    <w:multiLevelType w:val="multilevel"/>
    <w:tmpl w:val="C3C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566F4"/>
    <w:multiLevelType w:val="multilevel"/>
    <w:tmpl w:val="F45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C0B22"/>
    <w:multiLevelType w:val="multilevel"/>
    <w:tmpl w:val="814E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8680C"/>
    <w:multiLevelType w:val="multilevel"/>
    <w:tmpl w:val="BE5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24CA7"/>
    <w:multiLevelType w:val="multilevel"/>
    <w:tmpl w:val="E0C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96B1B"/>
    <w:multiLevelType w:val="multilevel"/>
    <w:tmpl w:val="8D7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22B0D"/>
    <w:multiLevelType w:val="multilevel"/>
    <w:tmpl w:val="975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F6DAB"/>
    <w:multiLevelType w:val="multilevel"/>
    <w:tmpl w:val="181E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420567">
    <w:abstractNumId w:val="2"/>
  </w:num>
  <w:num w:numId="2" w16cid:durableId="533348641">
    <w:abstractNumId w:val="7"/>
  </w:num>
  <w:num w:numId="3" w16cid:durableId="1125075781">
    <w:abstractNumId w:val="3"/>
  </w:num>
  <w:num w:numId="4" w16cid:durableId="380637051">
    <w:abstractNumId w:val="6"/>
  </w:num>
  <w:num w:numId="5" w16cid:durableId="107505612">
    <w:abstractNumId w:val="1"/>
  </w:num>
  <w:num w:numId="6" w16cid:durableId="283509191">
    <w:abstractNumId w:val="4"/>
  </w:num>
  <w:num w:numId="7" w16cid:durableId="850871827">
    <w:abstractNumId w:val="5"/>
  </w:num>
  <w:num w:numId="8" w16cid:durableId="148897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3C"/>
    <w:rsid w:val="0001265C"/>
    <w:rsid w:val="004779E3"/>
    <w:rsid w:val="004A06AB"/>
    <w:rsid w:val="009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E10E"/>
  <w15:chartTrackingRefBased/>
  <w15:docId w15:val="{71049EEA-78EB-4EFB-9766-D4EA7C06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6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6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6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6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6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6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6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6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6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6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6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6F3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6F3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6F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6F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6F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6F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6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6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6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6F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6F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6F3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6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6F3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6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liorokse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Stefán-Ugray</dc:creator>
  <cp:keywords/>
  <dc:description/>
  <cp:lastModifiedBy>Eszter Stefán-Ugray</cp:lastModifiedBy>
  <cp:revision>1</cp:revision>
  <dcterms:created xsi:type="dcterms:W3CDTF">2025-04-28T12:57:00Z</dcterms:created>
  <dcterms:modified xsi:type="dcterms:W3CDTF">2025-04-28T13:03:00Z</dcterms:modified>
</cp:coreProperties>
</file>